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593" w:rsidRDefault="00025593">
      <w:pPr>
        <w:rPr>
          <w:sz w:val="20"/>
        </w:rPr>
      </w:pPr>
    </w:p>
    <w:p w:rsidR="00025593" w:rsidRDefault="00025593">
      <w:pPr>
        <w:rPr>
          <w:sz w:val="20"/>
        </w:rPr>
      </w:pPr>
    </w:p>
    <w:p w:rsidR="00025593" w:rsidRDefault="00025593">
      <w:pPr>
        <w:spacing w:before="2"/>
        <w:rPr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968"/>
        <w:gridCol w:w="2090"/>
        <w:gridCol w:w="1062"/>
        <w:gridCol w:w="1009"/>
        <w:gridCol w:w="1128"/>
        <w:gridCol w:w="1243"/>
        <w:gridCol w:w="1128"/>
        <w:gridCol w:w="1246"/>
        <w:gridCol w:w="1236"/>
        <w:gridCol w:w="1195"/>
        <w:gridCol w:w="1294"/>
      </w:tblGrid>
      <w:tr w:rsidR="00025593" w:rsidTr="00E7795D">
        <w:trPr>
          <w:trHeight w:hRule="exact" w:val="768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15"/>
              <w:ind w:right="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12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TYPE OF FEE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76" w:line="158" w:lineRule="auto"/>
              <w:ind w:left="-1" w:right="650"/>
              <w:rPr>
                <w:b/>
                <w:sz w:val="20"/>
              </w:rPr>
            </w:pPr>
            <w:r>
              <w:rPr>
                <w:b/>
                <w:sz w:val="20"/>
              </w:rPr>
              <w:t>WHETHER ALLOWABLE</w:t>
            </w:r>
            <w:r>
              <w:rPr>
                <w:b/>
                <w:position w:val="10"/>
                <w:sz w:val="20"/>
              </w:rPr>
              <w:t>1</w:t>
            </w:r>
          </w:p>
        </w:tc>
        <w:tc>
          <w:tcPr>
            <w:tcW w:w="1062" w:type="dxa"/>
          </w:tcPr>
          <w:p w:rsidR="00025593" w:rsidRPr="00E7795D" w:rsidRDefault="00E7795D" w:rsidP="00E7795D">
            <w:pPr>
              <w:pStyle w:val="TableParagraph"/>
              <w:spacing w:before="12"/>
              <w:ind w:left="81"/>
              <w:jc w:val="center"/>
              <w:rPr>
                <w:b/>
                <w:sz w:val="18"/>
              </w:rPr>
            </w:pPr>
            <w:bookmarkStart w:id="0" w:name="_bookmark0"/>
            <w:bookmarkEnd w:id="0"/>
            <w:r w:rsidRPr="00E7795D">
              <w:rPr>
                <w:b/>
                <w:sz w:val="18"/>
              </w:rPr>
              <w:t>1.1.201</w:t>
            </w:r>
            <w:r w:rsidRPr="00E7795D">
              <w:rPr>
                <w:b/>
                <w:w w:val="99"/>
                <w:sz w:val="18"/>
              </w:rPr>
              <w:t>3</w:t>
            </w:r>
          </w:p>
          <w:p w:rsidR="00025593" w:rsidRDefault="00E7795D" w:rsidP="00E7795D">
            <w:pPr>
              <w:pStyle w:val="TableParagraph"/>
              <w:spacing w:before="21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incl</w:t>
            </w:r>
            <w:proofErr w:type="spellEnd"/>
            <w:r>
              <w:rPr>
                <w:b/>
                <w:sz w:val="20"/>
              </w:rPr>
              <w:t xml:space="preserve"> GST)</w:t>
            </w:r>
          </w:p>
        </w:tc>
        <w:tc>
          <w:tcPr>
            <w:tcW w:w="1009" w:type="dxa"/>
          </w:tcPr>
          <w:p w:rsidR="00025593" w:rsidRPr="00E7795D" w:rsidRDefault="00E7795D" w:rsidP="00E7795D">
            <w:pPr>
              <w:pStyle w:val="TableParagraph"/>
              <w:spacing w:before="12"/>
              <w:ind w:left="81"/>
              <w:jc w:val="center"/>
              <w:rPr>
                <w:b/>
                <w:sz w:val="18"/>
              </w:rPr>
            </w:pPr>
            <w:r w:rsidRPr="00E7795D">
              <w:rPr>
                <w:b/>
                <w:sz w:val="18"/>
              </w:rPr>
              <w:t>1.1.2014</w:t>
            </w:r>
          </w:p>
          <w:p w:rsidR="00025593" w:rsidRDefault="00E7795D" w:rsidP="00E7795D">
            <w:pPr>
              <w:pStyle w:val="TableParagraph"/>
              <w:spacing w:before="2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incl</w:t>
            </w:r>
            <w:proofErr w:type="spellEnd"/>
            <w:r>
              <w:rPr>
                <w:b/>
                <w:sz w:val="20"/>
              </w:rPr>
              <w:t xml:space="preserve"> GST)</w:t>
            </w:r>
          </w:p>
        </w:tc>
        <w:tc>
          <w:tcPr>
            <w:tcW w:w="1128" w:type="dxa"/>
          </w:tcPr>
          <w:p w:rsidR="00025593" w:rsidRDefault="00E7795D" w:rsidP="00E7795D">
            <w:pPr>
              <w:pStyle w:val="TableParagraph"/>
              <w:spacing w:before="15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1.1.2015</w:t>
            </w:r>
          </w:p>
          <w:p w:rsidR="00025593" w:rsidRDefault="00E7795D" w:rsidP="00E7795D">
            <w:pPr>
              <w:pStyle w:val="TableParagraph"/>
              <w:spacing w:before="22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incl</w:t>
            </w:r>
            <w:proofErr w:type="spellEnd"/>
            <w:r>
              <w:rPr>
                <w:b/>
                <w:sz w:val="20"/>
              </w:rPr>
              <w:t xml:space="preserve"> GST)</w:t>
            </w:r>
          </w:p>
        </w:tc>
        <w:tc>
          <w:tcPr>
            <w:tcW w:w="1243" w:type="dxa"/>
          </w:tcPr>
          <w:p w:rsidR="00025593" w:rsidRDefault="00E7795D" w:rsidP="00E7795D">
            <w:pPr>
              <w:pStyle w:val="TableParagraph"/>
              <w:spacing w:before="15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1.1.2016</w:t>
            </w:r>
          </w:p>
          <w:p w:rsidR="00025593" w:rsidRDefault="00E7795D" w:rsidP="00E7795D">
            <w:pPr>
              <w:pStyle w:val="TableParagraph"/>
              <w:spacing w:before="22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incl</w:t>
            </w:r>
            <w:proofErr w:type="spellEnd"/>
            <w:r>
              <w:rPr>
                <w:b/>
                <w:sz w:val="20"/>
              </w:rPr>
              <w:t xml:space="preserve"> GST)</w:t>
            </w:r>
          </w:p>
        </w:tc>
        <w:tc>
          <w:tcPr>
            <w:tcW w:w="1128" w:type="dxa"/>
          </w:tcPr>
          <w:p w:rsidR="00025593" w:rsidRDefault="00E7795D" w:rsidP="00E7795D">
            <w:pPr>
              <w:pStyle w:val="TableParagraph"/>
              <w:spacing w:before="15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1.7.2016</w:t>
            </w:r>
          </w:p>
          <w:p w:rsidR="00025593" w:rsidRDefault="00E7795D" w:rsidP="00E7795D">
            <w:pPr>
              <w:pStyle w:val="TableParagraph"/>
              <w:spacing w:before="22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incl</w:t>
            </w:r>
            <w:proofErr w:type="spellEnd"/>
            <w:r>
              <w:rPr>
                <w:b/>
                <w:sz w:val="20"/>
              </w:rPr>
              <w:t xml:space="preserve"> GST)</w:t>
            </w:r>
          </w:p>
        </w:tc>
        <w:tc>
          <w:tcPr>
            <w:tcW w:w="1246" w:type="dxa"/>
          </w:tcPr>
          <w:p w:rsidR="00025593" w:rsidRDefault="00E7795D" w:rsidP="00E7795D">
            <w:pPr>
              <w:pStyle w:val="TableParagraph"/>
              <w:spacing w:before="15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1.1.2018</w:t>
            </w:r>
          </w:p>
          <w:p w:rsidR="00025593" w:rsidRDefault="00E7795D" w:rsidP="00E7795D">
            <w:pPr>
              <w:pStyle w:val="TableParagraph"/>
              <w:spacing w:before="22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incl</w:t>
            </w:r>
            <w:proofErr w:type="spellEnd"/>
            <w:r>
              <w:rPr>
                <w:b/>
                <w:sz w:val="20"/>
              </w:rPr>
              <w:t xml:space="preserve"> GST)</w:t>
            </w:r>
          </w:p>
        </w:tc>
        <w:tc>
          <w:tcPr>
            <w:tcW w:w="1236" w:type="dxa"/>
          </w:tcPr>
          <w:p w:rsidR="00025593" w:rsidRDefault="00E7795D" w:rsidP="00E7795D">
            <w:pPr>
              <w:pStyle w:val="TableParagraph"/>
              <w:spacing w:before="15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1.1.2019</w:t>
            </w:r>
          </w:p>
          <w:p w:rsidR="00025593" w:rsidRDefault="00E7795D" w:rsidP="00E7795D">
            <w:pPr>
              <w:pStyle w:val="TableParagraph"/>
              <w:spacing w:before="22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 GST)</w:t>
            </w:r>
          </w:p>
        </w:tc>
        <w:tc>
          <w:tcPr>
            <w:tcW w:w="1195" w:type="dxa"/>
          </w:tcPr>
          <w:p w:rsidR="00025593" w:rsidRDefault="00E7795D" w:rsidP="00E7795D">
            <w:pPr>
              <w:pStyle w:val="TableParagraph"/>
              <w:spacing w:before="15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1.1.2020</w:t>
            </w:r>
          </w:p>
          <w:p w:rsidR="00025593" w:rsidRDefault="00E7795D" w:rsidP="00E7795D">
            <w:pPr>
              <w:pStyle w:val="TableParagraph"/>
              <w:spacing w:before="22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 GST)</w:t>
            </w:r>
          </w:p>
        </w:tc>
        <w:tc>
          <w:tcPr>
            <w:tcW w:w="1294" w:type="dxa"/>
          </w:tcPr>
          <w:p w:rsidR="00025593" w:rsidRDefault="00E7795D" w:rsidP="00E7795D">
            <w:pPr>
              <w:pStyle w:val="TableParagraph"/>
              <w:spacing w:before="15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1.4.2021</w:t>
            </w:r>
          </w:p>
          <w:p w:rsidR="00025593" w:rsidRDefault="00E7795D" w:rsidP="00E7795D">
            <w:pPr>
              <w:pStyle w:val="TableParagraph"/>
              <w:spacing w:before="22"/>
              <w:ind w:lef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 GST)</w:t>
            </w:r>
          </w:p>
        </w:tc>
      </w:tr>
      <w:tr w:rsidR="00025593" w:rsidTr="00E7795D">
        <w:trPr>
          <w:trHeight w:hRule="exact" w:val="468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0"/>
              <w:ind w:right="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0" w:line="254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Advice – Liability and/or Quantum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z w:val="16"/>
              </w:rPr>
              <w:t>Allowable</w:t>
            </w:r>
          </w:p>
        </w:tc>
        <w:tc>
          <w:tcPr>
            <w:tcW w:w="1062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$339</w:t>
            </w:r>
          </w:p>
        </w:tc>
        <w:tc>
          <w:tcPr>
            <w:tcW w:w="1009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$358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$432</w:t>
            </w:r>
          </w:p>
        </w:tc>
        <w:tc>
          <w:tcPr>
            <w:tcW w:w="1243" w:type="dxa"/>
          </w:tcPr>
          <w:p w:rsidR="00025593" w:rsidRDefault="00E7795D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z w:val="16"/>
              </w:rPr>
              <w:t>$440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$440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$455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$468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z w:val="16"/>
              </w:rPr>
              <w:t>$485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28"/>
              <w:ind w:right="496"/>
              <w:rPr>
                <w:sz w:val="16"/>
              </w:rPr>
            </w:pPr>
            <w:r>
              <w:rPr>
                <w:sz w:val="16"/>
              </w:rPr>
              <w:t>$510</w:t>
            </w:r>
          </w:p>
        </w:tc>
      </w:tr>
      <w:tr w:rsidR="00025593" w:rsidTr="00E7795D">
        <w:trPr>
          <w:trHeight w:hRule="exact" w:val="636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3"/>
              <w:ind w:right="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Compromise – Advice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Allowable</w:t>
            </w:r>
          </w:p>
        </w:tc>
        <w:tc>
          <w:tcPr>
            <w:tcW w:w="1062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$339</w:t>
            </w:r>
          </w:p>
        </w:tc>
        <w:tc>
          <w:tcPr>
            <w:tcW w:w="1009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$358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$432</w:t>
            </w:r>
          </w:p>
        </w:tc>
        <w:tc>
          <w:tcPr>
            <w:tcW w:w="1243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$440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Jnr -</w:t>
            </w:r>
          </w:p>
          <w:p w:rsidR="00025593" w:rsidRDefault="00E7795D"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$880</w:t>
            </w:r>
          </w:p>
          <w:p w:rsidR="00025593" w:rsidRDefault="00E7795D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Snr -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30" w:line="290" w:lineRule="auto"/>
              <w:ind w:left="-3" w:right="610"/>
              <w:rPr>
                <w:sz w:val="16"/>
              </w:rPr>
            </w:pPr>
            <w:r>
              <w:rPr>
                <w:sz w:val="16"/>
              </w:rPr>
              <w:t>Jnr -$910 Snr -</w:t>
            </w:r>
          </w:p>
          <w:p w:rsidR="00025593" w:rsidRDefault="00E7795D">
            <w:pPr>
              <w:pStyle w:val="TableParagraph"/>
              <w:spacing w:line="184" w:lineRule="exact"/>
              <w:ind w:left="-3"/>
              <w:rPr>
                <w:sz w:val="16"/>
              </w:rPr>
            </w:pPr>
            <w:r>
              <w:rPr>
                <w:sz w:val="16"/>
              </w:rPr>
              <w:t>$1364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30" w:line="290" w:lineRule="auto"/>
              <w:ind w:left="-3" w:right="600"/>
              <w:rPr>
                <w:sz w:val="16"/>
              </w:rPr>
            </w:pPr>
            <w:r>
              <w:rPr>
                <w:sz w:val="16"/>
              </w:rPr>
              <w:t>Jnr -$935 Snr -</w:t>
            </w:r>
          </w:p>
          <w:p w:rsidR="00025593" w:rsidRDefault="00E7795D">
            <w:pPr>
              <w:pStyle w:val="TableParagraph"/>
              <w:spacing w:line="184" w:lineRule="exact"/>
              <w:ind w:left="-3"/>
              <w:rPr>
                <w:sz w:val="16"/>
              </w:rPr>
            </w:pPr>
            <w:r>
              <w:rPr>
                <w:sz w:val="16"/>
              </w:rPr>
              <w:t>$1400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30" w:line="290" w:lineRule="auto"/>
              <w:ind w:left="-1" w:right="411"/>
              <w:rPr>
                <w:sz w:val="16"/>
              </w:rPr>
            </w:pPr>
            <w:r>
              <w:rPr>
                <w:sz w:val="16"/>
              </w:rPr>
              <w:t>Jnr -$965 Snr - $1445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30" w:line="290" w:lineRule="auto"/>
              <w:ind w:left="-1" w:right="496"/>
              <w:rPr>
                <w:sz w:val="16"/>
              </w:rPr>
            </w:pPr>
            <w:r>
              <w:rPr>
                <w:sz w:val="16"/>
              </w:rPr>
              <w:t>Jnr - $1015 Snr - $1515</w:t>
            </w:r>
          </w:p>
        </w:tc>
      </w:tr>
      <w:tr w:rsidR="00025593" w:rsidTr="00E7795D">
        <w:trPr>
          <w:trHeight w:hRule="exact" w:val="962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0"/>
              <w:ind w:right="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Compromise – Appearance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z w:val="16"/>
              </w:rPr>
              <w:t>Allowable</w:t>
            </w:r>
          </w:p>
        </w:tc>
        <w:tc>
          <w:tcPr>
            <w:tcW w:w="1062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$508</w:t>
            </w:r>
          </w:p>
        </w:tc>
        <w:tc>
          <w:tcPr>
            <w:tcW w:w="1009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$537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$648</w:t>
            </w:r>
          </w:p>
        </w:tc>
        <w:tc>
          <w:tcPr>
            <w:tcW w:w="1243" w:type="dxa"/>
          </w:tcPr>
          <w:p w:rsidR="00025593" w:rsidRDefault="00E7795D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z w:val="16"/>
              </w:rPr>
              <w:t>$660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Jnr -</w:t>
            </w:r>
          </w:p>
          <w:p w:rsidR="00025593" w:rsidRDefault="00E7795D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$880</w:t>
            </w:r>
          </w:p>
          <w:p w:rsidR="00025593" w:rsidRDefault="00E7795D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Snr -</w:t>
            </w:r>
          </w:p>
          <w:p w:rsidR="00025593" w:rsidRDefault="00E7795D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$1320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28" w:line="290" w:lineRule="auto"/>
              <w:ind w:left="-3" w:right="570"/>
              <w:rPr>
                <w:sz w:val="16"/>
              </w:rPr>
            </w:pPr>
            <w:r>
              <w:rPr>
                <w:sz w:val="16"/>
              </w:rPr>
              <w:t>Jnr - $910 Snr -</w:t>
            </w:r>
          </w:p>
          <w:p w:rsidR="00025593" w:rsidRDefault="00E7795D">
            <w:pPr>
              <w:pStyle w:val="TableParagraph"/>
              <w:spacing w:line="184" w:lineRule="exact"/>
              <w:ind w:left="-3"/>
              <w:rPr>
                <w:sz w:val="16"/>
              </w:rPr>
            </w:pPr>
            <w:r>
              <w:rPr>
                <w:sz w:val="16"/>
              </w:rPr>
              <w:t>$1364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28" w:line="290" w:lineRule="auto"/>
              <w:ind w:left="-3" w:right="560"/>
              <w:rPr>
                <w:sz w:val="16"/>
              </w:rPr>
            </w:pPr>
            <w:r>
              <w:rPr>
                <w:sz w:val="16"/>
              </w:rPr>
              <w:t>Jnr - $935 Snr -</w:t>
            </w:r>
          </w:p>
          <w:p w:rsidR="00025593" w:rsidRDefault="00E7795D">
            <w:pPr>
              <w:pStyle w:val="TableParagraph"/>
              <w:spacing w:line="184" w:lineRule="exact"/>
              <w:ind w:left="-3"/>
              <w:rPr>
                <w:sz w:val="16"/>
              </w:rPr>
            </w:pPr>
            <w:r>
              <w:rPr>
                <w:sz w:val="16"/>
              </w:rPr>
              <w:t>$1400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28" w:line="290" w:lineRule="auto"/>
              <w:ind w:left="-1" w:right="517"/>
              <w:rPr>
                <w:sz w:val="16"/>
              </w:rPr>
            </w:pPr>
            <w:r>
              <w:rPr>
                <w:sz w:val="16"/>
              </w:rPr>
              <w:t>Jnr - $965 Snr -</w:t>
            </w:r>
          </w:p>
          <w:p w:rsidR="00025593" w:rsidRDefault="00E7795D">
            <w:pPr>
              <w:pStyle w:val="TableParagraph"/>
              <w:spacing w:line="184" w:lineRule="exact"/>
              <w:ind w:left="-1"/>
              <w:rPr>
                <w:sz w:val="16"/>
              </w:rPr>
            </w:pPr>
            <w:r>
              <w:rPr>
                <w:sz w:val="16"/>
              </w:rPr>
              <w:t>$1445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Jnr -</w:t>
            </w:r>
          </w:p>
          <w:p w:rsidR="00025593" w:rsidRDefault="00E7795D">
            <w:pPr>
              <w:pStyle w:val="TableParagraph"/>
              <w:spacing w:before="39"/>
              <w:ind w:left="-1"/>
              <w:rPr>
                <w:sz w:val="16"/>
              </w:rPr>
            </w:pPr>
            <w:r>
              <w:rPr>
                <w:sz w:val="16"/>
              </w:rPr>
              <w:t>$1015</w:t>
            </w:r>
          </w:p>
          <w:p w:rsidR="00025593" w:rsidRDefault="00E7795D">
            <w:pPr>
              <w:pStyle w:val="TableParagraph"/>
              <w:spacing w:before="37"/>
              <w:ind w:left="-1"/>
              <w:rPr>
                <w:sz w:val="16"/>
              </w:rPr>
            </w:pPr>
            <w:r>
              <w:rPr>
                <w:sz w:val="16"/>
              </w:rPr>
              <w:t>Snr - $1515</w:t>
            </w:r>
          </w:p>
        </w:tc>
      </w:tr>
      <w:tr w:rsidR="00025593" w:rsidTr="00E7795D">
        <w:trPr>
          <w:trHeight w:hRule="exact" w:val="468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3"/>
              <w:ind w:right="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View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28" w:line="247" w:lineRule="auto"/>
              <w:ind w:left="-1"/>
              <w:rPr>
                <w:sz w:val="16"/>
              </w:rPr>
            </w:pPr>
            <w:r>
              <w:rPr>
                <w:sz w:val="16"/>
              </w:rPr>
              <w:t>Allowable where Liability is in dispute</w:t>
            </w:r>
          </w:p>
        </w:tc>
        <w:tc>
          <w:tcPr>
            <w:tcW w:w="1062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$339 per hour</w:t>
            </w:r>
          </w:p>
        </w:tc>
        <w:tc>
          <w:tcPr>
            <w:tcW w:w="1009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$358 per hour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$432 per hour</w:t>
            </w:r>
          </w:p>
        </w:tc>
        <w:tc>
          <w:tcPr>
            <w:tcW w:w="1243" w:type="dxa"/>
          </w:tcPr>
          <w:p w:rsidR="00025593" w:rsidRDefault="00E7795D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z w:val="16"/>
              </w:rPr>
              <w:t>$440 per hour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$440 per hour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$455 per hour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$468 per hour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z w:val="16"/>
              </w:rPr>
              <w:t>$485 per hour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$510 per hour</w:t>
            </w:r>
          </w:p>
        </w:tc>
      </w:tr>
      <w:tr w:rsidR="00025593" w:rsidTr="00E7795D">
        <w:trPr>
          <w:trHeight w:hRule="exact" w:val="1066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3"/>
              <w:ind w:right="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Statement of Claim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33" w:line="297" w:lineRule="auto"/>
              <w:ind w:left="-1" w:right="-1"/>
              <w:rPr>
                <w:sz w:val="16"/>
              </w:rPr>
            </w:pPr>
            <w:r>
              <w:rPr>
                <w:sz w:val="16"/>
              </w:rPr>
              <w:t>Allowable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reasonably obtained and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</w:p>
          <w:p w:rsidR="00025593" w:rsidRDefault="00E7795D">
            <w:pPr>
              <w:pStyle w:val="TableParagraph"/>
              <w:spacing w:before="1" w:line="300" w:lineRule="auto"/>
              <w:ind w:left="-1"/>
              <w:rPr>
                <w:sz w:val="16"/>
              </w:rPr>
            </w:pPr>
            <w:r>
              <w:rPr>
                <w:sz w:val="16"/>
              </w:rPr>
              <w:t>value to the parties in the assessment of the case</w:t>
            </w:r>
          </w:p>
        </w:tc>
        <w:tc>
          <w:tcPr>
            <w:tcW w:w="1062" w:type="dxa"/>
          </w:tcPr>
          <w:p w:rsidR="00025593" w:rsidRDefault="00E7795D">
            <w:pPr>
              <w:pStyle w:val="TableParagraph"/>
              <w:spacing w:before="33"/>
              <w:ind w:left="-3"/>
              <w:rPr>
                <w:sz w:val="16"/>
              </w:rPr>
            </w:pPr>
            <w:r>
              <w:rPr>
                <w:sz w:val="16"/>
              </w:rPr>
              <w:t>$339</w:t>
            </w:r>
          </w:p>
        </w:tc>
        <w:tc>
          <w:tcPr>
            <w:tcW w:w="1009" w:type="dxa"/>
          </w:tcPr>
          <w:p w:rsidR="00025593" w:rsidRDefault="00E7795D">
            <w:pPr>
              <w:pStyle w:val="TableParagraph"/>
              <w:spacing w:before="33"/>
              <w:rPr>
                <w:sz w:val="16"/>
              </w:rPr>
            </w:pPr>
            <w:r>
              <w:rPr>
                <w:sz w:val="16"/>
              </w:rPr>
              <w:t>$358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3"/>
              <w:rPr>
                <w:sz w:val="16"/>
              </w:rPr>
            </w:pPr>
            <w:r>
              <w:rPr>
                <w:sz w:val="16"/>
              </w:rPr>
              <w:t>$432</w:t>
            </w:r>
          </w:p>
        </w:tc>
        <w:tc>
          <w:tcPr>
            <w:tcW w:w="1243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sz w:val="16"/>
              </w:rPr>
            </w:pPr>
            <w:r>
              <w:rPr>
                <w:sz w:val="16"/>
              </w:rPr>
              <w:t>$440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3"/>
              <w:rPr>
                <w:sz w:val="16"/>
              </w:rPr>
            </w:pPr>
            <w:r>
              <w:rPr>
                <w:sz w:val="16"/>
              </w:rPr>
              <w:t>$440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33"/>
              <w:ind w:left="-3"/>
              <w:rPr>
                <w:sz w:val="16"/>
              </w:rPr>
            </w:pPr>
            <w:r>
              <w:rPr>
                <w:sz w:val="16"/>
              </w:rPr>
              <w:t>$455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33"/>
              <w:ind w:left="-3"/>
              <w:rPr>
                <w:sz w:val="16"/>
              </w:rPr>
            </w:pPr>
            <w:r>
              <w:rPr>
                <w:sz w:val="16"/>
              </w:rPr>
              <w:t>$470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sz w:val="16"/>
              </w:rPr>
            </w:pPr>
            <w:r>
              <w:rPr>
                <w:sz w:val="16"/>
              </w:rPr>
              <w:t>$485</w:t>
            </w:r>
          </w:p>
        </w:tc>
        <w:tc>
          <w:tcPr>
            <w:tcW w:w="1294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sz w:val="16"/>
              </w:rPr>
            </w:pPr>
            <w:r>
              <w:rPr>
                <w:sz w:val="16"/>
              </w:rPr>
              <w:t>$510</w:t>
            </w:r>
          </w:p>
        </w:tc>
      </w:tr>
      <w:tr w:rsidR="00025593" w:rsidTr="00E7795D">
        <w:trPr>
          <w:trHeight w:hRule="exact" w:val="1138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3"/>
              <w:ind w:right="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Particulars of loss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ind w:left="-1" w:right="387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Allowable where economic </w:t>
            </w:r>
            <w:r>
              <w:rPr>
                <w:spacing w:val="-3"/>
                <w:sz w:val="16"/>
              </w:rPr>
              <w:t xml:space="preserve">loss </w:t>
            </w:r>
            <w:r>
              <w:rPr>
                <w:sz w:val="16"/>
              </w:rPr>
              <w:t xml:space="preserve">is </w:t>
            </w:r>
            <w:r>
              <w:rPr>
                <w:spacing w:val="-4"/>
                <w:sz w:val="16"/>
              </w:rPr>
              <w:t xml:space="preserve">claimed </w:t>
            </w:r>
            <w:r>
              <w:rPr>
                <w:spacing w:val="-3"/>
                <w:sz w:val="16"/>
              </w:rPr>
              <w:t xml:space="preserve">at </w:t>
            </w:r>
            <w:r>
              <w:rPr>
                <w:spacing w:val="-5"/>
                <w:sz w:val="16"/>
              </w:rPr>
              <w:t xml:space="preserve">greater </w:t>
            </w:r>
            <w:r>
              <w:rPr>
                <w:spacing w:val="-3"/>
                <w:sz w:val="16"/>
              </w:rPr>
              <w:t xml:space="preserve">than </w:t>
            </w:r>
            <w:r>
              <w:rPr>
                <w:spacing w:val="-4"/>
                <w:sz w:val="16"/>
              </w:rPr>
              <w:t xml:space="preserve">$125,000 </w:t>
            </w:r>
            <w:r>
              <w:rPr>
                <w:spacing w:val="-5"/>
                <w:sz w:val="16"/>
              </w:rPr>
              <w:t xml:space="preserve">(and </w:t>
            </w:r>
            <w:r>
              <w:rPr>
                <w:spacing w:val="-4"/>
                <w:sz w:val="16"/>
              </w:rPr>
              <w:t xml:space="preserve">provided </w:t>
            </w:r>
            <w:r>
              <w:rPr>
                <w:sz w:val="16"/>
              </w:rPr>
              <w:t xml:space="preserve">a </w:t>
            </w:r>
            <w:r>
              <w:rPr>
                <w:spacing w:val="-4"/>
                <w:sz w:val="16"/>
              </w:rPr>
              <w:t xml:space="preserve">reasonable period </w:t>
            </w:r>
            <w:r>
              <w:rPr>
                <w:spacing w:val="-3"/>
                <w:sz w:val="16"/>
              </w:rPr>
              <w:t xml:space="preserve">prior </w:t>
            </w:r>
            <w:r>
              <w:rPr>
                <w:sz w:val="16"/>
              </w:rPr>
              <w:t xml:space="preserve">to </w:t>
            </w:r>
            <w:r>
              <w:rPr>
                <w:spacing w:val="-4"/>
                <w:sz w:val="16"/>
              </w:rPr>
              <w:t>conference)</w:t>
            </w:r>
          </w:p>
        </w:tc>
        <w:tc>
          <w:tcPr>
            <w:tcW w:w="1062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$339</w:t>
            </w:r>
          </w:p>
        </w:tc>
        <w:tc>
          <w:tcPr>
            <w:tcW w:w="1009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$358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$432</w:t>
            </w:r>
          </w:p>
        </w:tc>
        <w:tc>
          <w:tcPr>
            <w:tcW w:w="1243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$440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$440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$455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$470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$485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$510</w:t>
            </w:r>
          </w:p>
        </w:tc>
      </w:tr>
      <w:tr w:rsidR="00025593" w:rsidTr="00E7795D">
        <w:trPr>
          <w:trHeight w:hRule="exact" w:val="2666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3"/>
              <w:ind w:right="3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Protocols Conference</w:t>
            </w:r>
          </w:p>
          <w:p w:rsidR="00025593" w:rsidRDefault="00025593">
            <w:pPr>
              <w:pStyle w:val="TableParagraph"/>
              <w:spacing w:before="5"/>
              <w:rPr>
                <w:sz w:val="23"/>
              </w:rPr>
            </w:pPr>
          </w:p>
          <w:p w:rsidR="00025593" w:rsidRDefault="00E7795D">
            <w:pPr>
              <w:pStyle w:val="TableParagraph"/>
              <w:spacing w:line="297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(where only one conference held)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Standard fee</w:t>
            </w:r>
          </w:p>
          <w:p w:rsidR="00025593" w:rsidRDefault="00025593">
            <w:pPr>
              <w:pStyle w:val="TableParagraph"/>
              <w:spacing w:before="3"/>
              <w:rPr>
                <w:sz w:val="20"/>
              </w:rPr>
            </w:pPr>
          </w:p>
          <w:p w:rsidR="00025593" w:rsidRDefault="00E7795D">
            <w:pPr>
              <w:pStyle w:val="TableParagraph"/>
              <w:ind w:left="-1" w:right="275"/>
              <w:rPr>
                <w:sz w:val="16"/>
              </w:rPr>
            </w:pPr>
            <w:r>
              <w:rPr>
                <w:sz w:val="16"/>
              </w:rPr>
              <w:t>$300,000 + Quantum cases (before any reductions are made for liability and ignoring refundable benefits)</w:t>
            </w:r>
          </w:p>
          <w:p w:rsidR="00025593" w:rsidRDefault="00025593">
            <w:pPr>
              <w:pStyle w:val="TableParagraph"/>
              <w:spacing w:before="4"/>
            </w:pPr>
          </w:p>
          <w:p w:rsidR="00025593" w:rsidRDefault="00E7795D">
            <w:pPr>
              <w:pStyle w:val="TableParagraph"/>
              <w:spacing w:line="290" w:lineRule="auto"/>
              <w:ind w:left="-1" w:right="159"/>
              <w:jc w:val="both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Counsel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with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Junior </w:t>
            </w:r>
            <w:r>
              <w:rPr>
                <w:sz w:val="16"/>
              </w:rPr>
              <w:t>where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obtained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from TAC in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advance</w:t>
            </w:r>
          </w:p>
        </w:tc>
        <w:tc>
          <w:tcPr>
            <w:tcW w:w="1062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$2570</w:t>
            </w:r>
          </w:p>
          <w:p w:rsidR="00025593" w:rsidRDefault="00025593">
            <w:pPr>
              <w:pStyle w:val="TableParagraph"/>
              <w:spacing w:before="5"/>
              <w:rPr>
                <w:sz w:val="20"/>
              </w:rPr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$3150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6"/>
              </w:rPr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$4000</w:t>
            </w:r>
          </w:p>
        </w:tc>
        <w:tc>
          <w:tcPr>
            <w:tcW w:w="1009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$2632</w:t>
            </w:r>
          </w:p>
          <w:p w:rsidR="00025593" w:rsidRDefault="00025593">
            <w:pPr>
              <w:pStyle w:val="TableParagraph"/>
              <w:spacing w:before="5"/>
              <w:rPr>
                <w:sz w:val="20"/>
              </w:rPr>
            </w:pPr>
          </w:p>
          <w:p w:rsidR="00025593" w:rsidRDefault="00E779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$3300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6"/>
              </w:rPr>
            </w:pPr>
          </w:p>
          <w:p w:rsidR="00025593" w:rsidRDefault="00E779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$4160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$2699</w:t>
            </w:r>
          </w:p>
          <w:p w:rsidR="00025593" w:rsidRDefault="00025593">
            <w:pPr>
              <w:pStyle w:val="TableParagraph"/>
              <w:spacing w:before="5"/>
              <w:rPr>
                <w:sz w:val="20"/>
              </w:rPr>
            </w:pPr>
          </w:p>
          <w:p w:rsidR="00025593" w:rsidRDefault="00E779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$3430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6"/>
              </w:rPr>
            </w:pPr>
          </w:p>
          <w:p w:rsidR="00025593" w:rsidRDefault="00E779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$4320</w:t>
            </w:r>
          </w:p>
        </w:tc>
        <w:tc>
          <w:tcPr>
            <w:tcW w:w="1243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$2753</w:t>
            </w:r>
          </w:p>
          <w:p w:rsidR="00025593" w:rsidRDefault="00025593">
            <w:pPr>
              <w:pStyle w:val="TableParagraph"/>
              <w:spacing w:before="5"/>
              <w:rPr>
                <w:sz w:val="20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$3565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6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$4490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$2753</w:t>
            </w:r>
          </w:p>
          <w:p w:rsidR="00025593" w:rsidRDefault="00025593">
            <w:pPr>
              <w:pStyle w:val="TableParagraph"/>
              <w:spacing w:before="6"/>
            </w:pPr>
          </w:p>
          <w:p w:rsidR="00025593" w:rsidRDefault="00E779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$3565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E7795D">
            <w:pPr>
              <w:pStyle w:val="TableParagraph"/>
              <w:spacing w:before="112"/>
              <w:rPr>
                <w:sz w:val="16"/>
              </w:rPr>
            </w:pPr>
            <w:r>
              <w:rPr>
                <w:sz w:val="16"/>
              </w:rPr>
              <w:t>$4490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$2846</w:t>
            </w:r>
          </w:p>
          <w:p w:rsidR="00025593" w:rsidRDefault="00025593">
            <w:pPr>
              <w:pStyle w:val="TableParagraph"/>
              <w:spacing w:before="6"/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$3685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E7795D">
            <w:pPr>
              <w:pStyle w:val="TableParagraph"/>
              <w:spacing w:before="112"/>
              <w:ind w:left="-3"/>
              <w:rPr>
                <w:sz w:val="16"/>
              </w:rPr>
            </w:pPr>
            <w:r>
              <w:rPr>
                <w:sz w:val="16"/>
              </w:rPr>
              <w:t>$4641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$2925</w:t>
            </w:r>
          </w:p>
          <w:p w:rsidR="00025593" w:rsidRDefault="00025593">
            <w:pPr>
              <w:pStyle w:val="TableParagraph"/>
              <w:spacing w:before="6"/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$3785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E7795D">
            <w:pPr>
              <w:pStyle w:val="TableParagraph"/>
              <w:spacing w:before="112"/>
              <w:ind w:left="-3"/>
              <w:rPr>
                <w:sz w:val="16"/>
              </w:rPr>
            </w:pPr>
            <w:r>
              <w:rPr>
                <w:sz w:val="16"/>
              </w:rPr>
              <w:t>$4765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$3020</w:t>
            </w:r>
          </w:p>
          <w:p w:rsidR="00025593" w:rsidRDefault="00025593">
            <w:pPr>
              <w:pStyle w:val="TableParagraph"/>
              <w:spacing w:before="6"/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$3910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E7795D">
            <w:pPr>
              <w:pStyle w:val="TableParagraph"/>
              <w:spacing w:before="112"/>
              <w:ind w:left="-1"/>
              <w:rPr>
                <w:sz w:val="16"/>
              </w:rPr>
            </w:pPr>
            <w:r>
              <w:rPr>
                <w:sz w:val="16"/>
              </w:rPr>
              <w:t>$4920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$3165</w:t>
            </w:r>
          </w:p>
          <w:p w:rsidR="00025593" w:rsidRDefault="00025593">
            <w:pPr>
              <w:pStyle w:val="TableParagraph"/>
              <w:spacing w:before="3"/>
              <w:rPr>
                <w:sz w:val="16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$4100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24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$5160</w:t>
            </w:r>
          </w:p>
        </w:tc>
      </w:tr>
    </w:tbl>
    <w:p w:rsidR="00025593" w:rsidRDefault="00025593">
      <w:pPr>
        <w:rPr>
          <w:sz w:val="16"/>
        </w:rPr>
        <w:sectPr w:rsidR="00025593">
          <w:headerReference w:type="default" r:id="rId6"/>
          <w:type w:val="continuous"/>
          <w:pgSz w:w="16840" w:h="11930" w:orient="landscape"/>
          <w:pgMar w:top="1240" w:right="240" w:bottom="280" w:left="620" w:header="710" w:footer="720" w:gutter="0"/>
          <w:cols w:space="720"/>
        </w:sectPr>
      </w:pPr>
    </w:p>
    <w:p w:rsidR="00025593" w:rsidRDefault="00025593">
      <w:pPr>
        <w:rPr>
          <w:sz w:val="20"/>
        </w:rPr>
      </w:pPr>
    </w:p>
    <w:p w:rsidR="00025593" w:rsidRDefault="00025593">
      <w:pPr>
        <w:spacing w:before="5" w:after="1"/>
        <w:rPr>
          <w:sz w:val="18"/>
        </w:rPr>
      </w:pPr>
    </w:p>
    <w:tbl>
      <w:tblPr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968"/>
        <w:gridCol w:w="2090"/>
        <w:gridCol w:w="1073"/>
        <w:gridCol w:w="998"/>
        <w:gridCol w:w="1128"/>
        <w:gridCol w:w="1243"/>
        <w:gridCol w:w="1128"/>
        <w:gridCol w:w="1246"/>
        <w:gridCol w:w="1236"/>
        <w:gridCol w:w="1195"/>
        <w:gridCol w:w="1294"/>
      </w:tblGrid>
      <w:tr w:rsidR="00025593">
        <w:trPr>
          <w:trHeight w:hRule="exact" w:val="2266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3"/>
              <w:ind w:right="6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3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Protocols Conference</w:t>
            </w:r>
          </w:p>
          <w:p w:rsidR="00025593" w:rsidRDefault="00025593">
            <w:pPr>
              <w:pStyle w:val="TableParagraph"/>
              <w:spacing w:before="5"/>
              <w:rPr>
                <w:sz w:val="23"/>
              </w:rPr>
            </w:pPr>
          </w:p>
          <w:p w:rsidR="00025593" w:rsidRDefault="00E7795D">
            <w:pPr>
              <w:pStyle w:val="TableParagraph"/>
              <w:spacing w:line="295" w:lineRule="auto"/>
              <w:ind w:left="-1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If second conference occurs by agreement of both parties or pursuant to Supplementary Common Law Protocols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line="179" w:lineRule="exact"/>
              <w:ind w:left="-1"/>
              <w:rPr>
                <w:sz w:val="16"/>
              </w:rPr>
            </w:pPr>
            <w:r>
              <w:rPr>
                <w:sz w:val="16"/>
              </w:rPr>
              <w:t>Allowable</w:t>
            </w:r>
          </w:p>
        </w:tc>
        <w:tc>
          <w:tcPr>
            <w:tcW w:w="1073" w:type="dxa"/>
          </w:tcPr>
          <w:p w:rsidR="00025593" w:rsidRDefault="00E7795D">
            <w:pPr>
              <w:pStyle w:val="TableParagraph"/>
              <w:spacing w:line="181" w:lineRule="exact"/>
              <w:ind w:left="-3"/>
              <w:rPr>
                <w:sz w:val="16"/>
              </w:rPr>
            </w:pPr>
            <w:r>
              <w:rPr>
                <w:sz w:val="16"/>
              </w:rPr>
              <w:t>$1453</w:t>
            </w:r>
          </w:p>
        </w:tc>
        <w:tc>
          <w:tcPr>
            <w:tcW w:w="998" w:type="dxa"/>
          </w:tcPr>
          <w:p w:rsidR="00025593" w:rsidRDefault="00E7795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$1488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$1512</w:t>
            </w:r>
          </w:p>
        </w:tc>
        <w:tc>
          <w:tcPr>
            <w:tcW w:w="1243" w:type="dxa"/>
          </w:tcPr>
          <w:p w:rsidR="00025593" w:rsidRDefault="00E7795D">
            <w:pPr>
              <w:pStyle w:val="TableParagraph"/>
              <w:spacing w:line="181" w:lineRule="exact"/>
              <w:ind w:left="-1"/>
              <w:rPr>
                <w:sz w:val="16"/>
              </w:rPr>
            </w:pPr>
            <w:r>
              <w:rPr>
                <w:sz w:val="16"/>
              </w:rPr>
              <w:t>$1540</w:t>
            </w:r>
          </w:p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$1540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$1592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$1635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$1690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30"/>
              <w:rPr>
                <w:sz w:val="16"/>
              </w:rPr>
            </w:pPr>
            <w:bookmarkStart w:id="1" w:name="_GoBack"/>
            <w:bookmarkEnd w:id="1"/>
            <w:r>
              <w:rPr>
                <w:sz w:val="16"/>
              </w:rPr>
              <w:t>$1770</w:t>
            </w:r>
          </w:p>
        </w:tc>
      </w:tr>
      <w:tr w:rsidR="00025593">
        <w:trPr>
          <w:trHeight w:hRule="exact" w:val="2710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30"/>
              <w:ind w:right="6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0" w:line="297" w:lineRule="auto"/>
              <w:ind w:left="-1"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Serious Injury Protocols Conference</w:t>
            </w:r>
          </w:p>
          <w:p w:rsidR="00025593" w:rsidRDefault="00025593">
            <w:pPr>
              <w:pStyle w:val="TableParagraph"/>
              <w:spacing w:before="8"/>
              <w:rPr>
                <w:sz w:val="19"/>
              </w:rPr>
            </w:pPr>
          </w:p>
          <w:p w:rsidR="00025593" w:rsidRDefault="00E7795D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(Pre Litigation)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28" w:line="578" w:lineRule="auto"/>
              <w:ind w:left="-1" w:right="448"/>
              <w:rPr>
                <w:sz w:val="16"/>
              </w:rPr>
            </w:pPr>
            <w:r>
              <w:rPr>
                <w:sz w:val="16"/>
              </w:rPr>
              <w:t>If Serious Injury Granted and</w:t>
            </w:r>
          </w:p>
          <w:p w:rsidR="00025593" w:rsidRDefault="00E7795D">
            <w:pPr>
              <w:pStyle w:val="TableParagraph"/>
              <w:spacing w:before="10" w:line="290" w:lineRule="auto"/>
              <w:ind w:left="-1" w:right="650"/>
              <w:rPr>
                <w:sz w:val="16"/>
              </w:rPr>
            </w:pPr>
            <w:r>
              <w:rPr>
                <w:sz w:val="16"/>
              </w:rPr>
              <w:t>CL claim settled at SI Conference</w:t>
            </w:r>
          </w:p>
          <w:p w:rsidR="00025593" w:rsidRDefault="00E7795D">
            <w:pPr>
              <w:pStyle w:val="TableParagraph"/>
              <w:spacing w:line="184" w:lineRule="exact"/>
              <w:ind w:left="-1"/>
              <w:rPr>
                <w:sz w:val="16"/>
              </w:rPr>
            </w:pPr>
            <w:r>
              <w:rPr>
                <w:sz w:val="16"/>
              </w:rPr>
              <w:t>&lt; $300,000 Quantum cases</w:t>
            </w:r>
          </w:p>
          <w:p w:rsidR="00025593" w:rsidRDefault="00025593">
            <w:pPr>
              <w:pStyle w:val="TableParagraph"/>
              <w:spacing w:before="3"/>
              <w:rPr>
                <w:sz w:val="20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CL claim settled $300,000</w:t>
            </w:r>
          </w:p>
          <w:p w:rsidR="00025593" w:rsidRDefault="00E7795D">
            <w:pPr>
              <w:pStyle w:val="TableParagraph"/>
              <w:ind w:left="-1" w:right="265"/>
              <w:rPr>
                <w:sz w:val="16"/>
              </w:rPr>
            </w:pPr>
            <w:r>
              <w:rPr>
                <w:sz w:val="16"/>
              </w:rPr>
              <w:t>+ Quantum cases (before any reductions are made for liability and ignoring refundable benefits)</w:t>
            </w:r>
          </w:p>
        </w:tc>
        <w:tc>
          <w:tcPr>
            <w:tcW w:w="1073" w:type="dxa"/>
          </w:tcPr>
          <w:p w:rsidR="00025593" w:rsidRDefault="00025593"/>
        </w:tc>
        <w:tc>
          <w:tcPr>
            <w:tcW w:w="998" w:type="dxa"/>
          </w:tcPr>
          <w:p w:rsidR="00025593" w:rsidRDefault="00025593"/>
        </w:tc>
        <w:tc>
          <w:tcPr>
            <w:tcW w:w="1128" w:type="dxa"/>
          </w:tcPr>
          <w:p w:rsidR="00025593" w:rsidRDefault="00025593"/>
        </w:tc>
        <w:tc>
          <w:tcPr>
            <w:tcW w:w="1243" w:type="dxa"/>
          </w:tcPr>
          <w:p w:rsidR="00025593" w:rsidRDefault="00025593"/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$3300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2"/>
              <w:rPr>
                <w:sz w:val="25"/>
              </w:rPr>
            </w:pPr>
          </w:p>
          <w:p w:rsidR="00025593" w:rsidRDefault="00E779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$1377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11"/>
              <w:rPr>
                <w:sz w:val="23"/>
              </w:rPr>
            </w:pPr>
          </w:p>
          <w:p w:rsidR="00025593" w:rsidRDefault="00E779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$1783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$3411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2"/>
              <w:rPr>
                <w:sz w:val="25"/>
              </w:rPr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$1423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11"/>
              <w:rPr>
                <w:sz w:val="23"/>
              </w:rPr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$1843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28"/>
              <w:ind w:left="-3"/>
              <w:rPr>
                <w:sz w:val="16"/>
              </w:rPr>
            </w:pPr>
            <w:r>
              <w:rPr>
                <w:sz w:val="16"/>
              </w:rPr>
              <w:t>$3505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2"/>
              <w:rPr>
                <w:sz w:val="25"/>
              </w:rPr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$1465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11"/>
              <w:rPr>
                <w:sz w:val="23"/>
              </w:rPr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$1890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28"/>
              <w:ind w:left="-1"/>
              <w:rPr>
                <w:sz w:val="16"/>
              </w:rPr>
            </w:pPr>
            <w:r>
              <w:rPr>
                <w:sz w:val="16"/>
              </w:rPr>
              <w:t>$3620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2"/>
              <w:rPr>
                <w:sz w:val="25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$1515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11"/>
              <w:rPr>
                <w:sz w:val="23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$1950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$3795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4"/>
              <w:rPr>
                <w:sz w:val="15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$1590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3"/>
              </w:rPr>
            </w:pPr>
          </w:p>
          <w:p w:rsidR="00025593" w:rsidRDefault="00E7795D">
            <w:pPr>
              <w:pStyle w:val="TableParagraph"/>
              <w:spacing w:before="1"/>
              <w:ind w:left="-1"/>
              <w:rPr>
                <w:sz w:val="16"/>
              </w:rPr>
            </w:pPr>
            <w:r>
              <w:rPr>
                <w:sz w:val="16"/>
              </w:rPr>
              <w:t>$2045</w:t>
            </w:r>
          </w:p>
        </w:tc>
      </w:tr>
      <w:tr w:rsidR="00025593">
        <w:trPr>
          <w:trHeight w:hRule="exact" w:val="2126"/>
        </w:trPr>
        <w:tc>
          <w:tcPr>
            <w:tcW w:w="1135" w:type="dxa"/>
          </w:tcPr>
          <w:p w:rsidR="00025593" w:rsidRDefault="00E7795D">
            <w:pPr>
              <w:pStyle w:val="TableParagraph"/>
              <w:spacing w:before="52"/>
              <w:ind w:right="6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</w:p>
        </w:tc>
        <w:tc>
          <w:tcPr>
            <w:tcW w:w="1968" w:type="dxa"/>
          </w:tcPr>
          <w:p w:rsidR="00025593" w:rsidRDefault="00E7795D">
            <w:pPr>
              <w:pStyle w:val="TableParagraph"/>
              <w:spacing w:before="33"/>
              <w:ind w:left="-1" w:right="-7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 xml:space="preserve">Originating </w:t>
            </w:r>
            <w:r>
              <w:rPr>
                <w:b/>
                <w:spacing w:val="-7"/>
                <w:sz w:val="16"/>
              </w:rPr>
              <w:t>Motion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Conference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E7795D">
            <w:pPr>
              <w:pStyle w:val="TableParagraph"/>
              <w:spacing w:before="106" w:line="326" w:lineRule="auto"/>
              <w:ind w:left="-1"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(in addition to any OM conference fee claimable outside Protocols)</w:t>
            </w:r>
          </w:p>
        </w:tc>
        <w:tc>
          <w:tcPr>
            <w:tcW w:w="2090" w:type="dxa"/>
          </w:tcPr>
          <w:p w:rsidR="00025593" w:rsidRDefault="00E7795D">
            <w:pPr>
              <w:pStyle w:val="TableParagraph"/>
              <w:spacing w:before="30" w:line="288" w:lineRule="auto"/>
              <w:ind w:left="-1"/>
              <w:rPr>
                <w:sz w:val="16"/>
              </w:rPr>
            </w:pPr>
            <w:r>
              <w:rPr>
                <w:sz w:val="16"/>
              </w:rPr>
              <w:t>CL claim settled at OM Conference</w:t>
            </w:r>
          </w:p>
          <w:p w:rsidR="00025593" w:rsidRDefault="00E7795D">
            <w:pPr>
              <w:pStyle w:val="TableParagraph"/>
              <w:spacing w:before="3"/>
              <w:ind w:left="-1"/>
              <w:rPr>
                <w:sz w:val="16"/>
              </w:rPr>
            </w:pPr>
            <w:r>
              <w:rPr>
                <w:sz w:val="16"/>
              </w:rPr>
              <w:t>&lt; $300,000 Quantum cases</w:t>
            </w:r>
          </w:p>
          <w:p w:rsidR="00025593" w:rsidRDefault="00025593">
            <w:pPr>
              <w:pStyle w:val="TableParagraph"/>
              <w:spacing w:before="3"/>
              <w:rPr>
                <w:sz w:val="20"/>
              </w:rPr>
            </w:pPr>
          </w:p>
          <w:p w:rsidR="00025593" w:rsidRDefault="00E7795D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z w:val="16"/>
              </w:rPr>
              <w:t>CL claim settled $300,000</w:t>
            </w:r>
          </w:p>
          <w:p w:rsidR="00025593" w:rsidRDefault="00E7795D">
            <w:pPr>
              <w:pStyle w:val="TableParagraph"/>
              <w:ind w:left="-1" w:right="275"/>
              <w:rPr>
                <w:sz w:val="16"/>
              </w:rPr>
            </w:pPr>
            <w:r>
              <w:rPr>
                <w:sz w:val="16"/>
              </w:rPr>
              <w:t xml:space="preserve">+ </w:t>
            </w:r>
            <w:proofErr w:type="gramStart"/>
            <w:r>
              <w:rPr>
                <w:sz w:val="16"/>
              </w:rPr>
              <w:t>at</w:t>
            </w:r>
            <w:proofErr w:type="gramEnd"/>
            <w:r>
              <w:rPr>
                <w:sz w:val="16"/>
              </w:rPr>
              <w:t xml:space="preserve"> OM conference. Quantum cases (before any reductions are made for liability and ignoring refundable benefits)</w:t>
            </w:r>
          </w:p>
        </w:tc>
        <w:tc>
          <w:tcPr>
            <w:tcW w:w="1073" w:type="dxa"/>
          </w:tcPr>
          <w:p w:rsidR="00025593" w:rsidRDefault="00025593"/>
        </w:tc>
        <w:tc>
          <w:tcPr>
            <w:tcW w:w="998" w:type="dxa"/>
          </w:tcPr>
          <w:p w:rsidR="00025593" w:rsidRDefault="00025593"/>
        </w:tc>
        <w:tc>
          <w:tcPr>
            <w:tcW w:w="1128" w:type="dxa"/>
          </w:tcPr>
          <w:p w:rsidR="00025593" w:rsidRDefault="00025593"/>
        </w:tc>
        <w:tc>
          <w:tcPr>
            <w:tcW w:w="1243" w:type="dxa"/>
          </w:tcPr>
          <w:p w:rsidR="00025593" w:rsidRDefault="00025593"/>
        </w:tc>
        <w:tc>
          <w:tcPr>
            <w:tcW w:w="1128" w:type="dxa"/>
          </w:tcPr>
          <w:p w:rsidR="00025593" w:rsidRDefault="00E7795D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$1377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3"/>
              </w:rPr>
            </w:pPr>
          </w:p>
          <w:p w:rsidR="00025593" w:rsidRDefault="00E779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$1783</w:t>
            </w:r>
          </w:p>
        </w:tc>
        <w:tc>
          <w:tcPr>
            <w:tcW w:w="1246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$1423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3"/>
              </w:rPr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$1843</w:t>
            </w:r>
          </w:p>
        </w:tc>
        <w:tc>
          <w:tcPr>
            <w:tcW w:w="1236" w:type="dxa"/>
          </w:tcPr>
          <w:p w:rsidR="00025593" w:rsidRDefault="00E7795D">
            <w:pPr>
              <w:pStyle w:val="TableParagraph"/>
              <w:spacing w:before="30"/>
              <w:ind w:left="-3"/>
              <w:rPr>
                <w:sz w:val="16"/>
              </w:rPr>
            </w:pPr>
            <w:r>
              <w:rPr>
                <w:sz w:val="16"/>
              </w:rPr>
              <w:t>$1465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3"/>
              </w:rPr>
            </w:pPr>
          </w:p>
          <w:p w:rsidR="00025593" w:rsidRDefault="00E7795D">
            <w:pPr>
              <w:pStyle w:val="TableParagraph"/>
              <w:ind w:left="-3"/>
              <w:rPr>
                <w:sz w:val="16"/>
              </w:rPr>
            </w:pPr>
            <w:r>
              <w:rPr>
                <w:sz w:val="16"/>
              </w:rPr>
              <w:t>$1895</w:t>
            </w:r>
          </w:p>
        </w:tc>
        <w:tc>
          <w:tcPr>
            <w:tcW w:w="1195" w:type="dxa"/>
          </w:tcPr>
          <w:p w:rsidR="00025593" w:rsidRDefault="00E7795D">
            <w:pPr>
              <w:pStyle w:val="TableParagraph"/>
              <w:spacing w:before="30"/>
              <w:ind w:left="-1"/>
              <w:rPr>
                <w:sz w:val="16"/>
              </w:rPr>
            </w:pPr>
            <w:r>
              <w:rPr>
                <w:sz w:val="16"/>
              </w:rPr>
              <w:t>$1515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spacing w:before="8"/>
              <w:rPr>
                <w:sz w:val="23"/>
              </w:rPr>
            </w:pPr>
          </w:p>
          <w:p w:rsidR="00025593" w:rsidRDefault="00E7795D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$1960</w:t>
            </w:r>
          </w:p>
        </w:tc>
        <w:tc>
          <w:tcPr>
            <w:tcW w:w="1294" w:type="dxa"/>
          </w:tcPr>
          <w:p w:rsidR="00025593" w:rsidRDefault="00E7795D" w:rsidP="00C97663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w:t>$1590</w:t>
            </w: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025593">
            <w:pPr>
              <w:pStyle w:val="TableParagraph"/>
              <w:rPr>
                <w:sz w:val="18"/>
              </w:rPr>
            </w:pPr>
          </w:p>
          <w:p w:rsidR="00025593" w:rsidRDefault="00E7795D">
            <w:pPr>
              <w:pStyle w:val="TableParagraph"/>
              <w:spacing w:before="140"/>
              <w:ind w:left="-1"/>
              <w:rPr>
                <w:sz w:val="16"/>
              </w:rPr>
            </w:pPr>
            <w:r>
              <w:rPr>
                <w:sz w:val="16"/>
              </w:rPr>
              <w:t>$2055</w:t>
            </w:r>
          </w:p>
        </w:tc>
      </w:tr>
    </w:tbl>
    <w:p w:rsidR="00025593" w:rsidRDefault="00025593">
      <w:pPr>
        <w:rPr>
          <w:sz w:val="20"/>
        </w:rPr>
      </w:pPr>
    </w:p>
    <w:p w:rsidR="00025593" w:rsidRDefault="00025593">
      <w:pPr>
        <w:spacing w:before="5"/>
        <w:rPr>
          <w:sz w:val="18"/>
        </w:rPr>
      </w:pPr>
    </w:p>
    <w:p w:rsidR="00025593" w:rsidRDefault="00E7795D">
      <w:pPr>
        <w:pStyle w:val="BodyText"/>
        <w:spacing w:line="379" w:lineRule="auto"/>
        <w:ind w:left="107" w:right="1737"/>
      </w:pPr>
      <w:r>
        <w:rPr>
          <w:spacing w:val="10"/>
        </w:rPr>
        <w:t xml:space="preserve">After </w:t>
      </w:r>
      <w:r>
        <w:rPr>
          <w:spacing w:val="12"/>
        </w:rPr>
        <w:t xml:space="preserve">consideration </w:t>
      </w:r>
      <w:r>
        <w:rPr>
          <w:spacing w:val="6"/>
        </w:rPr>
        <w:t xml:space="preserve">of </w:t>
      </w:r>
      <w:r>
        <w:rPr>
          <w:spacing w:val="9"/>
        </w:rPr>
        <w:t xml:space="preserve">the </w:t>
      </w:r>
      <w:r>
        <w:rPr>
          <w:spacing w:val="11"/>
        </w:rPr>
        <w:t xml:space="preserve">Supreme </w:t>
      </w:r>
      <w:r>
        <w:rPr>
          <w:spacing w:val="10"/>
        </w:rPr>
        <w:t xml:space="preserve">Court Scale Costs, </w:t>
      </w:r>
      <w:r>
        <w:rPr>
          <w:spacing w:val="9"/>
        </w:rPr>
        <w:t xml:space="preserve">and </w:t>
      </w:r>
      <w:r>
        <w:rPr>
          <w:spacing w:val="11"/>
        </w:rPr>
        <w:t xml:space="preserve">following </w:t>
      </w:r>
      <w:r>
        <w:rPr>
          <w:spacing w:val="12"/>
        </w:rPr>
        <w:t xml:space="preserve">consultation </w:t>
      </w:r>
      <w:r>
        <w:rPr>
          <w:spacing w:val="10"/>
        </w:rPr>
        <w:t xml:space="preserve">with </w:t>
      </w:r>
      <w:r>
        <w:rPr>
          <w:spacing w:val="11"/>
        </w:rPr>
        <w:t xml:space="preserve">LIV/ALA, </w:t>
      </w:r>
      <w:r>
        <w:rPr>
          <w:spacing w:val="8"/>
        </w:rPr>
        <w:t xml:space="preserve">the </w:t>
      </w:r>
      <w:r>
        <w:rPr>
          <w:spacing w:val="9"/>
        </w:rPr>
        <w:t xml:space="preserve">TAC will </w:t>
      </w:r>
      <w:r>
        <w:rPr>
          <w:spacing w:val="10"/>
        </w:rPr>
        <w:t xml:space="preserve">update </w:t>
      </w:r>
      <w:r>
        <w:rPr>
          <w:spacing w:val="8"/>
        </w:rPr>
        <w:t xml:space="preserve">and </w:t>
      </w:r>
      <w:r>
        <w:rPr>
          <w:spacing w:val="10"/>
        </w:rPr>
        <w:t xml:space="preserve">publish </w:t>
      </w:r>
      <w:r>
        <w:rPr>
          <w:spacing w:val="9"/>
        </w:rPr>
        <w:t xml:space="preserve">the </w:t>
      </w:r>
      <w:r>
        <w:rPr>
          <w:spacing w:val="11"/>
        </w:rPr>
        <w:t xml:space="preserve">counsel </w:t>
      </w:r>
      <w:proofErr w:type="gramStart"/>
      <w:r>
        <w:rPr>
          <w:spacing w:val="10"/>
        </w:rPr>
        <w:t xml:space="preserve">fees  </w:t>
      </w:r>
      <w:r>
        <w:rPr>
          <w:spacing w:val="9"/>
        </w:rPr>
        <w:t>and</w:t>
      </w:r>
      <w:proofErr w:type="gramEnd"/>
      <w:r>
        <w:rPr>
          <w:spacing w:val="9"/>
        </w:rPr>
        <w:t xml:space="preserve"> </w:t>
      </w:r>
      <w:r>
        <w:rPr>
          <w:spacing w:val="11"/>
        </w:rPr>
        <w:t xml:space="preserve">disbursement schedule annually </w:t>
      </w:r>
      <w:r>
        <w:rPr>
          <w:spacing w:val="10"/>
        </w:rPr>
        <w:t xml:space="preserve">from </w:t>
      </w:r>
      <w:r>
        <w:t xml:space="preserve">1  </w:t>
      </w:r>
      <w:r>
        <w:rPr>
          <w:spacing w:val="2"/>
        </w:rPr>
        <w:t xml:space="preserve"> </w:t>
      </w:r>
      <w:r>
        <w:rPr>
          <w:spacing w:val="11"/>
        </w:rPr>
        <w:t>January.</w:t>
      </w:r>
    </w:p>
    <w:p w:rsidR="00025593" w:rsidRDefault="00E7795D">
      <w:pPr>
        <w:pStyle w:val="BodyText"/>
        <w:spacing w:before="1"/>
        <w:ind w:left="107"/>
      </w:pPr>
      <w:r>
        <w:t>2021 figures have been indexed from 1 April 2021 in line with the Supreme Court Scale indexation.</w:t>
      </w:r>
    </w:p>
    <w:sectPr w:rsidR="00025593">
      <w:pgSz w:w="16840" w:h="11930" w:orient="landscape"/>
      <w:pgMar w:top="1240" w:right="240" w:bottom="280" w:left="4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18" w:rsidRDefault="00E7795D">
      <w:r>
        <w:separator/>
      </w:r>
    </w:p>
  </w:endnote>
  <w:endnote w:type="continuationSeparator" w:id="0">
    <w:p w:rsidR="00640C18" w:rsidRDefault="00E7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18" w:rsidRDefault="00E7795D">
      <w:r>
        <w:separator/>
      </w:r>
    </w:p>
  </w:footnote>
  <w:footnote w:type="continuationSeparator" w:id="0">
    <w:p w:rsidR="00640C18" w:rsidRDefault="00E7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93" w:rsidRDefault="0035117D">
    <w:pPr>
      <w:pStyle w:val="BodyText"/>
      <w:spacing w:line="14" w:lineRule="auto"/>
      <w:rPr>
        <w:b w:val="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487045</wp:posOffset>
              </wp:positionH>
              <wp:positionV relativeFrom="page">
                <wp:posOffset>438150</wp:posOffset>
              </wp:positionV>
              <wp:extent cx="9585325" cy="37401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53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593" w:rsidRDefault="00E7795D">
                          <w:pPr>
                            <w:spacing w:before="10" w:line="247" w:lineRule="auto"/>
                            <w:ind w:left="4731" w:hanging="471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Counsel’s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allowable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disbursements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Common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Law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matters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conducted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accordance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with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TAC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Protocols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Supplementary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Protocols (Please note copies of Counsel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backsheets</w:t>
                          </w:r>
                          <w:proofErr w:type="spellEnd"/>
                          <w:proofErr w:type="gramEnd"/>
                          <w:r>
                            <w:rPr>
                              <w:b/>
                              <w:sz w:val="24"/>
                            </w:rPr>
                            <w:t xml:space="preserve"> are</w:t>
                          </w:r>
                          <w:r>
                            <w:rPr>
                              <w:b/>
                              <w:spacing w:val="-3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35pt;margin-top:34.5pt;width:754.75pt;height:2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" filled="f" stroked="f">
              <v:textbox inset="0,0,0,0">
                <w:txbxContent>
                  <w:p w:rsidR="00025593" w:rsidRDefault="00E7795D">
                    <w:pPr>
                      <w:spacing w:before="10" w:line="247" w:lineRule="auto"/>
                      <w:ind w:left="4731" w:hanging="47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Counsel’s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fees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allowable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disbursements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Common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Law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matters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conducted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accordance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with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TAC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Protocols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Supplementary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Protocols (Please note copies of Counsel </w:t>
                    </w:r>
                    <w:proofErr w:type="spellStart"/>
                    <w:proofErr w:type="gramStart"/>
                    <w:r>
                      <w:rPr>
                        <w:b/>
                        <w:sz w:val="24"/>
                      </w:rPr>
                      <w:t>backsheets</w:t>
                    </w:r>
                    <w:proofErr w:type="spellEnd"/>
                    <w:proofErr w:type="gramEnd"/>
                    <w:r>
                      <w:rPr>
                        <w:b/>
                        <w:sz w:val="24"/>
                      </w:rPr>
                      <w:t xml:space="preserve"> are</w:t>
                    </w:r>
                    <w:r>
                      <w:rPr>
                        <w:b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93"/>
    <w:rsid w:val="00025593"/>
    <w:rsid w:val="0035117D"/>
    <w:rsid w:val="00640C18"/>
    <w:rsid w:val="00C97663"/>
    <w:rsid w:val="00E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CB0D"/>
  <w15:docId w15:val="{0CD94A3A-8B74-48A3-9C7B-77451935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FEE</vt:lpstr>
    </vt:vector>
  </TitlesOfParts>
  <Company>Worksafe Victoria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FEE</dc:title>
  <dc:creator>Bellamy</dc:creator>
  <cp:lastModifiedBy>Karl Andrew Rust (TAC)</cp:lastModifiedBy>
  <cp:revision>4</cp:revision>
  <dcterms:created xsi:type="dcterms:W3CDTF">2021-05-04T02:01:00Z</dcterms:created>
  <dcterms:modified xsi:type="dcterms:W3CDTF">2021-05-04T02:12:00Z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2021-05-04T00:00:00Z</vt:filetime>
  </property>
</Properties>
</file>